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0F1B2D"/>
          <w:sz w:val="40"/>
          <w:szCs w:val="40"/>
        </w:rPr>
        <w:t xml:space="preserve">OSMAN JANJUA</w:t>
      </w:r>
    </w:p>
    <w:p>
      <w:pPr>
        <w:spacing w:after="60"/>
        <w:jc w:val="center"/>
      </w:pPr>
      <w:r>
        <w:rPr>
          <w:rFonts w:ascii="Calibri" w:cs="Calibri" w:eastAsia="Calibri" w:hAnsi="Calibri"/>
          <w:color w:val="444444"/>
          <w:sz w:val="18"/>
          <w:szCs w:val="18"/>
        </w:rPr>
        <w:t xml:space="preserve">Chicago, IL</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443.799.7399</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oz@opslayer.pro</w:t>
      </w:r>
    </w:p>
    <w:p>
      <w:pPr>
        <w:spacing w:after="200"/>
        <w:jc w:val="center"/>
      </w:pPr>
      <w:r>
        <w:rPr>
          <w:rFonts w:ascii="Georgia" w:cs="Georgia" w:eastAsia="Georgia" w:hAnsi="Georgia"/>
          <w:b/>
          <w:bCs/>
          <w:color w:val="1B6B6D"/>
          <w:sz w:val="24"/>
          <w:szCs w:val="24"/>
        </w:rPr>
        <w:t xml:space="preserve">AI SOLUTIONS ARCHITECT  |  TECHNICAL LEADERSHIP  |  ENTERPRISE TRANSFORMATION</w:t>
      </w:r>
    </w:p>
    <w:p>
      <w:pPr>
        <w:pBdr>
          <w:bottom w:val="single" w:color="C9A96E" w:sz="4"/>
        </w:pBdr>
        <w:spacing w:after="100" w:before="300"/>
      </w:pPr>
      <w:r>
        <w:rPr>
          <w:rFonts w:ascii="Georgia" w:cs="Georgia" w:eastAsia="Georgia" w:hAnsi="Georgia"/>
          <w:b/>
          <w:bCs/>
          <w:color w:val="1B6B6D"/>
          <w:sz w:val="22"/>
          <w:szCs w:val="22"/>
        </w:rPr>
        <w:t xml:space="preserve">PROFESSIONAL SUMMARY</w:t>
      </w:r>
    </w:p>
    <w:p>
      <w:pPr>
        <w:spacing w:after="200"/>
      </w:pPr>
      <w:r>
        <w:rPr>
          <w:rFonts w:ascii="Calibri" w:cs="Calibri" w:eastAsia="Calibri" w:hAnsi="Calibri"/>
          <w:color w:val="444444"/>
          <w:sz w:val="20"/>
          <w:szCs w:val="20"/>
        </w:rPr>
        <w:t xml:space="preserve">AI Solutions Architect and technical leadership professional with hands-on experience designing artificial intelligence systems, machine learning integration, and cloud architecture across Fortune 500, publicly traded, and privately held organizations. Proven track record delivering AI solutions and prototyping in healthcare, energy, real estate, and restaurant operations — supporting environments with more than $1B in billing exposure. Background in professional services and consulting, with direct experience in business development, client collaboration, and co-creating measurable business impact through AI use cases, deep learning deployment, and enterprise workflow automation. Known for identifying high-value AI opportunities, translating business requirements into comprehensive AI system designs, and mentoring cross-functional teams through full project lifecycles. Proficient in Python, PyTorch, cloud infrastructure (AWS, Azure), and emerging technologies for human-centered AI solutions.</w:t>
      </w:r>
    </w:p>
    <w:p>
      <w:pPr>
        <w:pBdr>
          <w:bottom w:val="single" w:color="C9A96E" w:sz="4"/>
        </w:pBdr>
        <w:spacing w:after="100" w:before="300"/>
      </w:pPr>
      <w:r>
        <w:rPr>
          <w:rFonts w:ascii="Georgia" w:cs="Georgia" w:eastAsia="Georgia" w:hAnsi="Georgia"/>
          <w:b/>
          <w:bCs/>
          <w:color w:val="1B6B6D"/>
          <w:sz w:val="22"/>
          <w:szCs w:val="22"/>
        </w:rPr>
        <w:t xml:space="preserve">CORE QUALIFICATIONS</w:t>
      </w:r>
    </w:p>
    <w:p>
      <w:pPr>
        <w:spacing w:after="200"/>
        <w:jc w:val="center"/>
      </w:pPr>
      <w:r>
        <w:rPr>
          <w:rFonts w:ascii="Calibri" w:cs="Calibri" w:eastAsia="Calibri" w:hAnsi="Calibri"/>
          <w:color w:val="0F1B2D"/>
          <w:sz w:val="20"/>
          <w:szCs w:val="20"/>
        </w:rPr>
        <w:t xml:space="preserve">AI Solutions Architecture &amp; Technical Architect  |  Machine Learning &amp; Deep Learning Integration  |  Cloud Architecture (AWS, Azure)  |  Technical Leadership &amp; Team Management  |  Hands-On Prototyping &amp; Demonstrations  |  AI Use Cases &amp; Opportunity Identification  |  Business Requirements to AI System Design  |  Cross-Functional Project Lifecycle Management  |  Professional Services &amp; Consulting Delivery  |  Business Development &amp; Client Acquisition  |  Mentoring Data Scientists &amp; Engineers  |  Enterprise Workflow Automation &amp; Transformation  |  Human-Centered AI &amp; Expert Guidance  |  Business Impact &amp; Project Economics  |  Ideation Workshops &amp; AI Strategy  |  Security, Compliance &amp; Privacy  |  Python, PyTorch, TensorFlow  |  Executive Communication &amp; Stakeholder Collaboration  |  Emerging Technologies Evaluation  |  Real Estate Arbitration &amp; Distressed Asset Acquisition  |  Foreclosure &amp; Probate Property Strategy  |  Capital Raising &amp; Fund Development</w:t>
      </w:r>
    </w:p>
    <w:p>
      <w:pPr>
        <w:pBdr>
          <w:bottom w:val="single" w:color="C9A96E" w:sz="4"/>
        </w:pBdr>
        <w:spacing w:after="100" w:before="300"/>
      </w:pPr>
      <w:r>
        <w:rPr>
          <w:rFonts w:ascii="Georgia" w:cs="Georgia" w:eastAsia="Georgia" w:hAnsi="Georgia"/>
          <w:b/>
          <w:bCs/>
          <w:color w:val="1B6B6D"/>
          <w:sz w:val="22"/>
          <w:szCs w:val="22"/>
        </w:rPr>
        <w:t xml:space="preserve">PROFESSIONAL EXPERIENCE</w:t>
      </w:r>
    </w:p>
    <w:p>
      <w:pPr>
        <w:spacing w:after="0" w:before="200"/>
      </w:pPr>
      <w:r>
        <w:rPr>
          <w:rFonts w:ascii="Calibri" w:cs="Calibri" w:eastAsia="Calibri" w:hAnsi="Calibri"/>
          <w:b/>
          <w:bCs/>
          <w:color w:val="0F1B2D"/>
          <w:sz w:val="22"/>
          <w:szCs w:val="22"/>
        </w:rPr>
        <w:t xml:space="preserve">AI Solution Architect &amp; Consulting Lead</w:t>
      </w:r>
    </w:p>
    <w:p>
      <w:pPr>
        <w:tabs>
          <w:tab w:val="right" w:pos="9026"/>
        </w:tabs>
        <w:spacing w:after="100"/>
      </w:pPr>
      <w:r>
        <w:rPr>
          <w:rFonts w:ascii="Calibri" w:cs="Calibri" w:eastAsia="Calibri" w:hAnsi="Calibri"/>
          <w:b/>
          <w:bCs/>
          <w:color w:val="1B6B6D"/>
          <w:sz w:val="20"/>
          <w:szCs w:val="20"/>
        </w:rPr>
        <w:t xml:space="preserve">ELA ASSET MANAGEMENT</w:t>
      </w:r>
      <w:r>
        <w:rPr>
          <w:rFonts w:ascii="Calibri" w:cs="Calibri" w:eastAsia="Calibri" w:hAnsi="Calibri"/>
          <w:color w:val="444444"/>
          <w:sz w:val="20"/>
          <w:szCs w:val="20"/>
        </w:rPr>
        <w:t xml:space="preserve">  —  Multi-Industry</w:t>
      </w:r>
      <w:r>
        <w:t xml:space="preserve">	</w:t>
      </w:r>
      <w:r>
        <w:rPr>
          <w:rFonts w:ascii="Calibri" w:cs="Calibri" w:eastAsia="Calibri" w:hAnsi="Calibri"/>
          <w:b/>
          <w:bCs/>
          <w:color w:val="C9A96E"/>
          <w:sz w:val="20"/>
          <w:szCs w:val="20"/>
        </w:rPr>
        <w:t xml:space="preserve">Current</w:t>
      </w:r>
    </w:p>
    <w:p>
      <w:pPr>
        <w:pStyle w:val="ListParagraph"/>
        <w:numPr>
          <w:ilvl w:val="0"/>
          <w:numId w:val="1"/>
        </w:numPr>
        <w:spacing w:after="40"/>
        <w:ind w:left="360"/>
      </w:pPr>
      <w:r>
        <w:rPr>
          <w:rFonts w:ascii="Calibri" w:cs="Calibri" w:eastAsia="Calibri" w:hAnsi="Calibri"/>
          <w:color w:val="444444"/>
          <w:sz w:val="20"/>
          <w:szCs w:val="20"/>
        </w:rPr>
        <w:t xml:space="preserve">Serve as solution architect and AI strategist for Fortune 500, publicly traded, and privately held clients across energy, healthcare, real estate, and restaurant sectors — providing professional services and consulting on artificial intelligence solutions supporting $1B+ in billing exposure.</w:t>
      </w:r>
    </w:p>
    <w:p>
      <w:pPr>
        <w:pStyle w:val="ListParagraph"/>
        <w:numPr>
          <w:ilvl w:val="0"/>
          <w:numId w:val="1"/>
        </w:numPr>
        <w:spacing w:after="40"/>
        <w:ind w:left="360"/>
      </w:pPr>
      <w:r>
        <w:rPr>
          <w:rFonts w:ascii="Calibri" w:cs="Calibri" w:eastAsia="Calibri" w:hAnsi="Calibri"/>
          <w:color w:val="444444"/>
          <w:sz w:val="20"/>
          <w:szCs w:val="20"/>
        </w:rPr>
        <w:t xml:space="preserve">Translate business requirements into comprehensive AI system designs, leading hands-on prototype development and demonstrations of machine learning solutions through full project lifecycles from ideation workshops through production deployment.</w:t>
      </w:r>
    </w:p>
    <w:p>
      <w:pPr>
        <w:pStyle w:val="ListParagraph"/>
        <w:numPr>
          <w:ilvl w:val="0"/>
          <w:numId w:val="1"/>
        </w:numPr>
        <w:spacing w:after="40"/>
        <w:ind w:left="360"/>
      </w:pPr>
      <w:r>
        <w:rPr>
          <w:rFonts w:ascii="Calibri" w:cs="Calibri" w:eastAsia="Calibri" w:hAnsi="Calibri"/>
          <w:color w:val="444444"/>
          <w:sz w:val="20"/>
          <w:szCs w:val="20"/>
        </w:rPr>
        <w:t xml:space="preserve">Built ERP-integrated document intelligence pipeline with Python, processing 10,000+ invoices monthly using deep learning field extraction — achieving 100% accuracy across 10,003 documents and 8,829 docs/sec throughput with SAP F3041 template generation.</w:t>
      </w:r>
    </w:p>
    <w:p>
      <w:pPr>
        <w:pStyle w:val="ListParagraph"/>
        <w:numPr>
          <w:ilvl w:val="0"/>
          <w:numId w:val="1"/>
        </w:numPr>
        <w:spacing w:after="40"/>
        <w:ind w:left="360"/>
      </w:pPr>
      <w:r>
        <w:rPr>
          <w:rFonts w:ascii="Calibri" w:cs="Calibri" w:eastAsia="Calibri" w:hAnsi="Calibri"/>
          <w:color w:val="444444"/>
          <w:sz w:val="20"/>
          <w:szCs w:val="20"/>
        </w:rPr>
        <w:t xml:space="preserve">Engineered real-time franchise inventory management system with computer vision barcode scanning, PyTorch-based product detection, and cloud infrastructure deployment on AWS — reducing manual errors by 40% with automated alerts.</w:t>
      </w:r>
    </w:p>
    <w:p>
      <w:pPr>
        <w:pStyle w:val="ListParagraph"/>
        <w:numPr>
          <w:ilvl w:val="0"/>
          <w:numId w:val="1"/>
        </w:numPr>
        <w:spacing w:after="40"/>
        <w:ind w:left="360"/>
      </w:pPr>
      <w:r>
        <w:rPr>
          <w:rFonts w:ascii="Calibri" w:cs="Calibri" w:eastAsia="Calibri" w:hAnsi="Calibri"/>
          <w:color w:val="444444"/>
          <w:sz w:val="20"/>
          <w:szCs w:val="20"/>
        </w:rPr>
        <w:t xml:space="preserve">Developed multi-currency GL routing engine with 5-tier approval workflow, duplicate detection via document fingerprinting, and NTE enforcement — ensuring security, compliance, and privacy across 12 vendor accounts processing USD, CAD, EUR, GBP, and MXN.</w:t>
      </w:r>
    </w:p>
    <w:p>
      <w:pPr>
        <w:pStyle w:val="ListParagraph"/>
        <w:numPr>
          <w:ilvl w:val="0"/>
          <w:numId w:val="1"/>
        </w:numPr>
        <w:spacing w:after="40"/>
        <w:ind w:left="360"/>
      </w:pPr>
      <w:r>
        <w:rPr>
          <w:rFonts w:ascii="Calibri" w:cs="Calibri" w:eastAsia="Calibri" w:hAnsi="Calibri"/>
          <w:color w:val="444444"/>
          <w:sz w:val="20"/>
          <w:szCs w:val="20"/>
        </w:rPr>
        <w:t xml:space="preserve">Created AI-powered lead generation platforms with 120+ landing pages, voice agent qualification, and CRM pipeline — delivering measurable business impact through client acquisition automation and business development support.</w:t>
      </w:r>
    </w:p>
    <w:p>
      <w:pPr>
        <w:pStyle w:val="ListParagraph"/>
        <w:numPr>
          <w:ilvl w:val="0"/>
          <w:numId w:val="1"/>
        </w:numPr>
        <w:spacing w:after="40"/>
        <w:ind w:left="360"/>
      </w:pPr>
      <w:r>
        <w:rPr>
          <w:rFonts w:ascii="Calibri" w:cs="Calibri" w:eastAsia="Calibri" w:hAnsi="Calibri"/>
          <w:color w:val="444444"/>
          <w:sz w:val="20"/>
          <w:szCs w:val="20"/>
        </w:rPr>
        <w:t xml:space="preserve">Architected 55-service cloud architecture orchestrating dashboards, AI agents, and automation workflows across 20+ concurrent services on Azure and AWS cloud infrastructure with zero downtime.</w:t>
      </w:r>
    </w:p>
    <w:p>
      <w:pPr>
        <w:pStyle w:val="ListParagraph"/>
        <w:numPr>
          <w:ilvl w:val="0"/>
          <w:numId w:val="1"/>
        </w:numPr>
        <w:spacing w:after="40"/>
        <w:ind w:left="360"/>
      </w:pPr>
      <w:r>
        <w:rPr>
          <w:rFonts w:ascii="Calibri" w:cs="Calibri" w:eastAsia="Calibri" w:hAnsi="Calibri"/>
          <w:color w:val="444444"/>
          <w:sz w:val="20"/>
          <w:szCs w:val="20"/>
        </w:rPr>
        <w:t xml:space="preserve">Fine-tuned domain-specific LLM using PyTorch and TensorFlow with 5,600+ training examples, achieving 31% improvement in eval loss — demonstrating subject matter expertise in emerging technologies and machine learning integration.</w:t>
      </w:r>
    </w:p>
    <w:p>
      <w:pPr>
        <w:pStyle w:val="ListParagraph"/>
        <w:numPr>
          <w:ilvl w:val="0"/>
          <w:numId w:val="1"/>
        </w:numPr>
        <w:spacing w:after="40"/>
        <w:ind w:left="360"/>
      </w:pPr>
      <w:r>
        <w:rPr>
          <w:rFonts w:ascii="Calibri" w:cs="Calibri" w:eastAsia="Calibri" w:hAnsi="Calibri"/>
          <w:color w:val="444444"/>
          <w:sz w:val="20"/>
          <w:szCs w:val="20"/>
        </w:rPr>
        <w:t xml:space="preserve">Provide expert guidance and mentoring to data scientists, data engineers, and developers on AI solution implementation best practices, managing project economics and team coordination across concurrent engagements.</w:t>
      </w:r>
    </w:p>
    <w:p>
      <w:pPr>
        <w:pStyle w:val="ListParagraph"/>
        <w:numPr>
          <w:ilvl w:val="0"/>
          <w:numId w:val="1"/>
        </w:numPr>
        <w:spacing w:after="40"/>
        <w:ind w:left="360"/>
      </w:pPr>
      <w:r>
        <w:rPr>
          <w:rFonts w:ascii="Calibri" w:cs="Calibri" w:eastAsia="Calibri" w:hAnsi="Calibri"/>
          <w:color w:val="444444"/>
          <w:sz w:val="20"/>
          <w:szCs w:val="20"/>
        </w:rPr>
        <w:t xml:space="preserve">Lead ideation workshops with executive stakeholders to identify high-value AI opportunities and AI use cases, co-creating human-centered business proposals and transformation roadmaps that drive collaboration and measurable business impact.</w:t>
      </w:r>
    </w:p>
    <w:p>
      <w:pPr>
        <w:spacing w:after="0" w:before="200"/>
      </w:pPr>
      <w:r>
        <w:rPr>
          <w:rFonts w:ascii="Calibri" w:cs="Calibri" w:eastAsia="Calibri" w:hAnsi="Calibri"/>
          <w:b/>
          <w:bCs/>
          <w:color w:val="0F1B2D"/>
          <w:sz w:val="22"/>
          <w:szCs w:val="22"/>
        </w:rPr>
        <w:t xml:space="preserve">Director, Strategic Solutions</w:t>
      </w:r>
    </w:p>
    <w:p>
      <w:pPr>
        <w:tabs>
          <w:tab w:val="right" w:pos="9026"/>
        </w:tabs>
        <w:spacing w:after="100"/>
      </w:pPr>
      <w:r>
        <w:rPr>
          <w:rFonts w:ascii="Calibri" w:cs="Calibri" w:eastAsia="Calibri" w:hAnsi="Calibri"/>
          <w:b/>
          <w:bCs/>
          <w:color w:val="1B6B6D"/>
          <w:sz w:val="20"/>
          <w:szCs w:val="20"/>
        </w:rPr>
        <w:t xml:space="preserve">ENERGY SECTOR</w:t>
      </w:r>
      <w:r>
        <w:rPr>
          <w:rFonts w:ascii="Calibri" w:cs="Calibri" w:eastAsia="Calibri" w:hAnsi="Calibri"/>
          <w:color w:val="444444"/>
          <w:sz w:val="20"/>
          <w:szCs w:val="20"/>
        </w:rPr>
        <w:t xml:space="preserve">  —  Confidential</w:t>
      </w:r>
      <w:r>
        <w:t xml:space="preserve">	</w:t>
      </w:r>
      <w:r>
        <w:rPr>
          <w:rFonts w:ascii="Calibri" w:cs="Calibri" w:eastAsia="Calibri" w:hAnsi="Calibri"/>
          <w:b/>
          <w:bCs/>
          <w:color w:val="C9A96E"/>
          <w:sz w:val="20"/>
          <w:szCs w:val="20"/>
        </w:rPr>
        <w:t xml:space="preserve">Previous</w:t>
      </w:r>
    </w:p>
    <w:p>
      <w:pPr>
        <w:pStyle w:val="ListParagraph"/>
        <w:numPr>
          <w:ilvl w:val="0"/>
          <w:numId w:val="1"/>
        </w:numPr>
        <w:spacing w:after="40"/>
        <w:ind w:left="360"/>
      </w:pPr>
      <w:r>
        <w:rPr>
          <w:rFonts w:ascii="Calibri" w:cs="Calibri" w:eastAsia="Calibri" w:hAnsi="Calibri"/>
          <w:color w:val="444444"/>
          <w:sz w:val="20"/>
          <w:szCs w:val="20"/>
        </w:rPr>
        <w:t xml:space="preserve">Led strategic solutions initiatives supporting more than $200M in annual billing, contributing to sustained growth through pricing structure, business analysis, and operational decision support.</w:t>
      </w:r>
    </w:p>
    <w:p>
      <w:pPr>
        <w:pStyle w:val="ListParagraph"/>
        <w:numPr>
          <w:ilvl w:val="0"/>
          <w:numId w:val="1"/>
        </w:numPr>
        <w:spacing w:after="40"/>
        <w:ind w:left="360"/>
      </w:pPr>
      <w:r>
        <w:rPr>
          <w:rFonts w:ascii="Calibri" w:cs="Calibri" w:eastAsia="Calibri" w:hAnsi="Calibri"/>
          <w:color w:val="444444"/>
          <w:sz w:val="20"/>
          <w:szCs w:val="20"/>
        </w:rPr>
        <w:t xml:space="preserve">Worked on commodity trading index and price matrix initiatives to support pricing clarity, commercial decision-making, and business planning.</w:t>
      </w:r>
    </w:p>
    <w:p>
      <w:pPr>
        <w:pStyle w:val="ListParagraph"/>
        <w:numPr>
          <w:ilvl w:val="0"/>
          <w:numId w:val="1"/>
        </w:numPr>
        <w:spacing w:after="40"/>
        <w:ind w:left="360"/>
      </w:pPr>
      <w:r>
        <w:rPr>
          <w:rFonts w:ascii="Calibri" w:cs="Calibri" w:eastAsia="Calibri" w:hAnsi="Calibri"/>
          <w:color w:val="444444"/>
          <w:sz w:val="20"/>
          <w:szCs w:val="20"/>
        </w:rPr>
        <w:t xml:space="preserve">Performed budget analysis, contract-related analysis, and strategic planning tied to revenue-generating operations.</w:t>
      </w:r>
    </w:p>
    <w:p>
      <w:pPr>
        <w:pStyle w:val="ListParagraph"/>
        <w:numPr>
          <w:ilvl w:val="0"/>
          <w:numId w:val="1"/>
        </w:numPr>
        <w:spacing w:after="40"/>
        <w:ind w:left="360"/>
      </w:pPr>
      <w:r>
        <w:rPr>
          <w:rFonts w:ascii="Calibri" w:cs="Calibri" w:eastAsia="Calibri" w:hAnsi="Calibri"/>
          <w:color w:val="444444"/>
          <w:sz w:val="20"/>
          <w:szCs w:val="20"/>
        </w:rPr>
        <w:t xml:space="preserve">Supported power plan acquisitions and related strategic evaluation efforts within the energy sector.</w:t>
      </w:r>
    </w:p>
    <w:p>
      <w:pPr>
        <w:pStyle w:val="ListParagraph"/>
        <w:numPr>
          <w:ilvl w:val="0"/>
          <w:numId w:val="1"/>
        </w:numPr>
        <w:spacing w:after="40"/>
        <w:ind w:left="360"/>
      </w:pPr>
      <w:r>
        <w:rPr>
          <w:rFonts w:ascii="Calibri" w:cs="Calibri" w:eastAsia="Calibri" w:hAnsi="Calibri"/>
          <w:color w:val="444444"/>
          <w:sz w:val="20"/>
          <w:szCs w:val="20"/>
        </w:rPr>
        <w:t xml:space="preserve">Contributed to technology-enabled commercial infrastructure, including smart contract deployment and process modernization efforts where appropriate to the business model.</w:t>
      </w:r>
    </w:p>
    <w:p>
      <w:pPr>
        <w:pStyle w:val="ListParagraph"/>
        <w:numPr>
          <w:ilvl w:val="0"/>
          <w:numId w:val="1"/>
        </w:numPr>
        <w:spacing w:after="40"/>
        <w:ind w:left="360"/>
      </w:pPr>
      <w:r>
        <w:rPr>
          <w:rFonts w:ascii="Calibri" w:cs="Calibri" w:eastAsia="Calibri" w:hAnsi="Calibri"/>
          <w:color w:val="444444"/>
          <w:sz w:val="20"/>
          <w:szCs w:val="20"/>
        </w:rPr>
        <w:t xml:space="preserve">Helped align commercial strategy, financial structure, and operational execution in a high-volume billing environment with steady CAGR.</w:t>
      </w:r>
    </w:p>
    <w:p>
      <w:pPr>
        <w:spacing w:after="0" w:before="200"/>
      </w:pPr>
      <w:r>
        <w:rPr>
          <w:rFonts w:ascii="Calibri" w:cs="Calibri" w:eastAsia="Calibri" w:hAnsi="Calibri"/>
          <w:b/>
          <w:bCs/>
          <w:color w:val="0F1B2D"/>
          <w:sz w:val="22"/>
          <w:szCs w:val="22"/>
        </w:rPr>
        <w:t xml:space="preserve">Principal, Strategic Acquisitions &amp; Asset Management</w:t>
      </w:r>
    </w:p>
    <w:p>
      <w:pPr>
        <w:tabs>
          <w:tab w:val="right" w:pos="9026"/>
        </w:tabs>
        <w:spacing w:after="100"/>
      </w:pPr>
      <w:r>
        <w:rPr>
          <w:rFonts w:ascii="Calibri" w:cs="Calibri" w:eastAsia="Calibri" w:hAnsi="Calibri"/>
          <w:b/>
          <w:bCs/>
          <w:color w:val="1B6B6D"/>
          <w:sz w:val="20"/>
          <w:szCs w:val="20"/>
        </w:rPr>
        <w:t xml:space="preserve">ELA ASSET MANAGEMENT</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Current</w:t>
      </w:r>
    </w:p>
    <w:p>
      <w:pPr>
        <w:pStyle w:val="ListParagraph"/>
        <w:numPr>
          <w:ilvl w:val="0"/>
          <w:numId w:val="1"/>
        </w:numPr>
        <w:spacing w:after="40"/>
        <w:ind w:left="360"/>
      </w:pPr>
      <w:r>
        <w:rPr>
          <w:rFonts w:ascii="Calibri" w:cs="Calibri" w:eastAsia="Calibri" w:hAnsi="Calibri"/>
          <w:color w:val="444444"/>
          <w:sz w:val="20"/>
          <w:szCs w:val="20"/>
        </w:rPr>
        <w:t xml:space="preserve">Lead strategic acquisition efforts across foreclosure markets, probate properties, and distressed asset portfolios, identifying undervalued opportunities and executing structured deal flow.</w:t>
      </w:r>
    </w:p>
    <w:p>
      <w:pPr>
        <w:pStyle w:val="ListParagraph"/>
        <w:numPr>
          <w:ilvl w:val="0"/>
          <w:numId w:val="1"/>
        </w:numPr>
        <w:spacing w:after="40"/>
        <w:ind w:left="360"/>
      </w:pPr>
      <w:r>
        <w:rPr>
          <w:rFonts w:ascii="Calibri" w:cs="Calibri" w:eastAsia="Calibri" w:hAnsi="Calibri"/>
          <w:color w:val="444444"/>
          <w:sz w:val="20"/>
          <w:szCs w:val="20"/>
        </w:rPr>
        <w:t xml:space="preserve">Manage real estate arbitration processes and dispute resolution in complex multi-party transactions involving liens, title defects, and contested ownership.</w:t>
      </w:r>
    </w:p>
    <w:p>
      <w:pPr>
        <w:pStyle w:val="ListParagraph"/>
        <w:numPr>
          <w:ilvl w:val="0"/>
          <w:numId w:val="1"/>
        </w:numPr>
        <w:spacing w:after="40"/>
        <w:ind w:left="360"/>
      </w:pPr>
      <w:r>
        <w:rPr>
          <w:rFonts w:ascii="Calibri" w:cs="Calibri" w:eastAsia="Calibri" w:hAnsi="Calibri"/>
          <w:color w:val="444444"/>
          <w:sz w:val="20"/>
          <w:szCs w:val="20"/>
        </w:rPr>
        <w:t xml:space="preserve">Develop and execute capital raising strategies to fund acquisition pipelines, including investor relations, fund structuring, and stakeholder reporting.</w:t>
      </w:r>
    </w:p>
    <w:p>
      <w:pPr>
        <w:pStyle w:val="ListParagraph"/>
        <w:numPr>
          <w:ilvl w:val="0"/>
          <w:numId w:val="1"/>
        </w:numPr>
        <w:spacing w:after="40"/>
        <w:ind w:left="360"/>
      </w:pPr>
      <w:r>
        <w:rPr>
          <w:rFonts w:ascii="Calibri" w:cs="Calibri" w:eastAsia="Calibri" w:hAnsi="Calibri"/>
          <w:color w:val="444444"/>
          <w:sz w:val="20"/>
          <w:szCs w:val="20"/>
        </w:rPr>
        <w:t xml:space="preserve">Analyze market conditions, comparable sales data, and asset valuations to drive acquisition decisions in competitive distressed and off-market environments.</w:t>
      </w:r>
    </w:p>
    <w:p>
      <w:pPr>
        <w:pStyle w:val="ListParagraph"/>
        <w:numPr>
          <w:ilvl w:val="0"/>
          <w:numId w:val="1"/>
        </w:numPr>
        <w:spacing w:after="40"/>
        <w:ind w:left="360"/>
      </w:pPr>
      <w:r>
        <w:rPr>
          <w:rFonts w:ascii="Calibri" w:cs="Calibri" w:eastAsia="Calibri" w:hAnsi="Calibri"/>
          <w:color w:val="444444"/>
          <w:sz w:val="20"/>
          <w:szCs w:val="20"/>
        </w:rPr>
        <w:t xml:space="preserve">Build operational infrastructure for deal sourcing, due diligence, closing coordination, and post-acquisition asset management across multiple property types.</w:t>
      </w:r>
    </w:p>
    <w:p>
      <w:pPr>
        <w:spacing w:after="0" w:before="200"/>
      </w:pPr>
      <w:r>
        <w:rPr>
          <w:rFonts w:ascii="Calibri" w:cs="Calibri" w:eastAsia="Calibri" w:hAnsi="Calibri"/>
          <w:b/>
          <w:bCs/>
          <w:color w:val="0F1B2D"/>
          <w:sz w:val="22"/>
          <w:szCs w:val="22"/>
        </w:rPr>
        <w:t xml:space="preserve">Strategy / Operations Transformation Leader</w:t>
      </w:r>
    </w:p>
    <w:p>
      <w:pPr>
        <w:tabs>
          <w:tab w:val="right" w:pos="9026"/>
        </w:tabs>
        <w:spacing w:after="100"/>
      </w:pPr>
      <w:r>
        <w:rPr>
          <w:rFonts w:ascii="Calibri" w:cs="Calibri" w:eastAsia="Calibri" w:hAnsi="Calibri"/>
          <w:b/>
          <w:bCs/>
          <w:color w:val="1B6B6D"/>
          <w:sz w:val="20"/>
          <w:szCs w:val="20"/>
        </w:rPr>
        <w:t xml:space="preserve">FAMILY NEUROLOGY PRACTICE</w:t>
      </w:r>
      <w:r>
        <w:rPr>
          <w:rFonts w:ascii="Calibri" w:cs="Calibri" w:eastAsia="Calibri" w:hAnsi="Calibri"/>
          <w:color w:val="444444"/>
          <w:sz w:val="20"/>
          <w:szCs w:val="20"/>
        </w:rPr>
        <w:t xml:space="preserve">  —  Maryland</w:t>
      </w:r>
      <w:r>
        <w:t xml:space="preserve">	</w:t>
      </w:r>
      <w:r>
        <w:rPr>
          <w:rFonts w:ascii="Calibri" w:cs="Calibri" w:eastAsia="Calibri" w:hAnsi="Calibri"/>
          <w:b/>
          <w:bCs/>
          <w:color w:val="C9A96E"/>
          <w:sz w:val="20"/>
          <w:szCs w:val="20"/>
        </w:rPr>
        <w:t xml:space="preserve">Previous</w:t>
      </w:r>
    </w:p>
    <w:p>
      <w:pPr>
        <w:pStyle w:val="ListParagraph"/>
        <w:numPr>
          <w:ilvl w:val="0"/>
          <w:numId w:val="1"/>
        </w:numPr>
        <w:spacing w:after="40"/>
        <w:ind w:left="360"/>
      </w:pPr>
      <w:r>
        <w:rPr>
          <w:rFonts w:ascii="Calibri" w:cs="Calibri" w:eastAsia="Calibri" w:hAnsi="Calibri"/>
          <w:color w:val="444444"/>
          <w:sz w:val="20"/>
          <w:szCs w:val="20"/>
        </w:rPr>
        <w:t xml:space="preserve">Helped transform a family-owned neurology practice through technology-first operational redesign, contributing to its growth into the busiest neurology practice in Maryland for several consecutive years.</w:t>
      </w:r>
    </w:p>
    <w:p>
      <w:pPr>
        <w:pStyle w:val="ListParagraph"/>
        <w:numPr>
          <w:ilvl w:val="0"/>
          <w:numId w:val="1"/>
        </w:numPr>
        <w:spacing w:after="40"/>
        <w:ind w:left="360"/>
      </w:pPr>
      <w:r>
        <w:rPr>
          <w:rFonts w:ascii="Calibri" w:cs="Calibri" w:eastAsia="Calibri" w:hAnsi="Calibri"/>
          <w:color w:val="444444"/>
          <w:sz w:val="20"/>
          <w:szCs w:val="20"/>
        </w:rPr>
        <w:t xml:space="preserve">Reworked business processes, systems, and workflow structure to improve patient throughput, practice efficiency, and organizational scale.</w:t>
      </w:r>
    </w:p>
    <w:p>
      <w:pPr>
        <w:pStyle w:val="ListParagraph"/>
        <w:numPr>
          <w:ilvl w:val="0"/>
          <w:numId w:val="1"/>
        </w:numPr>
        <w:spacing w:after="40"/>
        <w:ind w:left="360"/>
      </w:pPr>
      <w:r>
        <w:rPr>
          <w:rFonts w:ascii="Calibri" w:cs="Calibri" w:eastAsia="Calibri" w:hAnsi="Calibri"/>
          <w:color w:val="444444"/>
          <w:sz w:val="20"/>
          <w:szCs w:val="20"/>
        </w:rPr>
        <w:t xml:space="preserve">Used analytics, process redesign, and business technology improvements to support growth in volume, staffing capacity, and financial performance.</w:t>
      </w:r>
    </w:p>
    <w:p>
      <w:pPr>
        <w:pStyle w:val="ListParagraph"/>
        <w:numPr>
          <w:ilvl w:val="0"/>
          <w:numId w:val="1"/>
        </w:numPr>
        <w:spacing w:after="40"/>
        <w:ind w:left="360"/>
      </w:pPr>
      <w:r>
        <w:rPr>
          <w:rFonts w:ascii="Calibri" w:cs="Calibri" w:eastAsia="Calibri" w:hAnsi="Calibri"/>
          <w:color w:val="444444"/>
          <w:sz w:val="20"/>
          <w:szCs w:val="20"/>
        </w:rPr>
        <w:t xml:space="preserve">Contributed to expansion of the practice into a significantly larger and more operationally mature organization.</w:t>
      </w:r>
    </w:p>
    <w:p>
      <w:pPr>
        <w:pStyle w:val="ListParagraph"/>
        <w:numPr>
          <w:ilvl w:val="0"/>
          <w:numId w:val="1"/>
        </w:numPr>
        <w:spacing w:after="40"/>
        <w:ind w:left="360"/>
      </w:pPr>
      <w:r>
        <w:rPr>
          <w:rFonts w:ascii="Calibri" w:cs="Calibri" w:eastAsia="Calibri" w:hAnsi="Calibri"/>
          <w:color w:val="444444"/>
          <w:sz w:val="20"/>
          <w:szCs w:val="20"/>
        </w:rPr>
        <w:t xml:space="preserve">Applied structured operational thinking to scheduling, billing-related workflows, reporting visibility, and administrative efficiency in a high-volume healthcare environment.</w:t>
      </w:r>
    </w:p>
    <w:p>
      <w:pPr>
        <w:pStyle w:val="ListParagraph"/>
        <w:numPr>
          <w:ilvl w:val="0"/>
          <w:numId w:val="1"/>
        </w:numPr>
        <w:spacing w:after="40"/>
        <w:ind w:left="360"/>
      </w:pPr>
      <w:r>
        <w:rPr>
          <w:rFonts w:ascii="Calibri" w:cs="Calibri" w:eastAsia="Calibri" w:hAnsi="Calibri"/>
          <w:color w:val="444444"/>
          <w:sz w:val="20"/>
          <w:szCs w:val="20"/>
        </w:rPr>
        <w:t xml:space="preserve">Helped position the practice for sustained growth through disciplined execution rather than incremental administrative changes.</w:t>
      </w:r>
    </w:p>
    <w:p>
      <w:pPr>
        <w:pBdr>
          <w:bottom w:val="single" w:color="C9A96E" w:sz="4"/>
        </w:pBdr>
        <w:spacing w:after="100" w:before="300"/>
      </w:pPr>
      <w:r>
        <w:rPr>
          <w:rFonts w:ascii="Georgia" w:cs="Georgia" w:eastAsia="Georgia" w:hAnsi="Georgia"/>
          <w:b/>
          <w:bCs/>
          <w:color w:val="1B6B6D"/>
          <w:sz w:val="22"/>
          <w:szCs w:val="22"/>
        </w:rPr>
        <w:t xml:space="preserve">AREAS OF EXPERTISE</w:t>
      </w:r>
    </w:p>
    <w:p>
      <w:pPr>
        <w:spacing w:after="100"/>
        <w:jc w:val="center"/>
      </w:pPr>
      <w:r>
        <w:rPr>
          <w:rFonts w:ascii="Calibri" w:cs="Calibri" w:eastAsia="Calibri" w:hAnsi="Calibri"/>
          <w:color w:val="0F1B2D"/>
          <w:sz w:val="20"/>
          <w:szCs w:val="20"/>
        </w:rPr>
        <w:t xml:space="preserve">AI Solutions &amp; Cloud Architecture (AWS, Azure)  |  Machine Learning &amp; Deep Learning Deployment  |  Python, PyTorch, TensorFlow  |  Enterprise Systems Integration &amp; ERP Solutions  |  Hands-On Prototyping &amp; Functional Demonstrations  |  Business Proposals &amp; Client Advisory  |  AI Strategist &amp; Subject Matter Expertise  |  Professional Services &amp; Consulting Delivery  |  Distressed Asset Acquisition &amp; Disposition  |  Foreclosure &amp; Probate Property Strategy  |  Real Estate Arbitration &amp; Dispute Resolution  |  Capital Raising &amp; Investor Relations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2026-03-20T05:10:50.116Z</dcterms:created>
  <dcterms:modified xsi:type="dcterms:W3CDTF">2026-03-20T05:10:50.117Z</dcterms:modified>
</cp:coreProperties>
</file>

<file path=docProps/custom.xml><?xml version="1.0" encoding="utf-8"?>
<Properties xmlns="http://schemas.openxmlformats.org/officeDocument/2006/custom-properties" xmlns:vt="http://schemas.openxmlformats.org/officeDocument/2006/docPropsVTypes"/>
</file>